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SI-SAMU-GRAVITE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R1</w:t>
            </w:r>
          </w:p>
        </w:tc>
        <w:tc>
          <w:tcPr>
            <w:tcW w:type="dxa" w:w="1440"/>
          </w:tcPr>
          <w:p>
            <w:r>
              <w:t>Urgence Vitale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Urgence vitale patente ou latente imposant l’envoi du Smur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R2</w:t>
            </w:r>
          </w:p>
        </w:tc>
        <w:tc>
          <w:tcPr>
            <w:tcW w:type="dxa" w:w="1440"/>
          </w:tcPr>
          <w:p>
            <w:r>
              <w:t>Urgence vraie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Urgence vraie sans détresse vitale nécessitant l’envoi d’un médecin, d’une ambulance ou d’un VSAV. Le délai d’intervention est immédiat par défaut ou contractualisé entre le médecin régulateur et le requérant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R3</w:t>
            </w:r>
          </w:p>
        </w:tc>
        <w:tc>
          <w:tcPr>
            <w:tcW w:type="dxa" w:w="1440"/>
          </w:tcPr>
          <w:p>
            <w:r>
              <w:t>Continuité de soins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Situation relevant de la continuité de soins. Le délai ne constituant pas un facteur de risque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R4</w:t>
            </w:r>
          </w:p>
        </w:tc>
        <w:tc>
          <w:tcPr>
            <w:tcW w:type="dxa" w:w="1440"/>
          </w:tcPr>
          <w:p>
            <w:r>
              <w:t>Conseil ou PMT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Situation pouvant être traitée par un conseil médical ou prescription médicamenteuse par téléphone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4317e20fb51ec4e85b8666dabb09ede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6b908cdd69cb0859c51683a5db1834d0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B815DC-FD2E-41A1-BDAD-41429E48A102}"/>
</file>

<file path=customXml/itemProps3.xml><?xml version="1.0" encoding="utf-8"?>
<ds:datastoreItem xmlns:ds="http://schemas.openxmlformats.org/officeDocument/2006/customXml" ds:itemID="{B27608BA-1A25-4ABF-A7BE-1E69441C6138}"/>
</file>

<file path=customXml/itemProps4.xml><?xml version="1.0" encoding="utf-8"?>
<ds:datastoreItem xmlns:ds="http://schemas.openxmlformats.org/officeDocument/2006/customXml" ds:itemID="{F5FCEB67-DA6D-4E74-B0DA-B3ED6D2677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